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E0F" w:rsidRDefault="00272E0F" w:rsidP="00D31D50">
      <w:pPr>
        <w:spacing w:line="220" w:lineRule="atLeast"/>
        <w:rPr>
          <w:rFonts w:hint="eastAsia"/>
        </w:rPr>
      </w:pPr>
      <w:r>
        <w:rPr>
          <w:rFonts w:hint="eastAsia"/>
        </w:rPr>
        <w:t>多档案，请复制地址至浏览器查看</w:t>
      </w:r>
    </w:p>
    <w:p w:rsidR="004358AB" w:rsidRDefault="00272E0F" w:rsidP="00D31D50">
      <w:pPr>
        <w:spacing w:line="220" w:lineRule="atLeast"/>
      </w:pPr>
      <w:r w:rsidRPr="00272E0F">
        <w:t>https://www1.hkexnews.hk/listedco/listconews/sehk/2015/1120/ltn20151120059_c.htm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72E0F"/>
    <w:rsid w:val="00323B43"/>
    <w:rsid w:val="003D37D8"/>
    <w:rsid w:val="00426133"/>
    <w:rsid w:val="004358AB"/>
    <w:rsid w:val="008B7726"/>
    <w:rsid w:val="009872E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2021-01-22T07:50:00Z</dcterms:modified>
</cp:coreProperties>
</file>